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FDE7B" w14:textId="6D3ACBE2" w:rsidR="005C6648" w:rsidRDefault="00020C98" w:rsidP="002E3F63">
      <w:pPr>
        <w:pStyle w:val="ListParagraph"/>
        <w:numPr>
          <w:ilvl w:val="0"/>
          <w:numId w:val="1"/>
        </w:numPr>
        <w:tabs>
          <w:tab w:val="left" w:pos="426"/>
        </w:tabs>
        <w:spacing w:before="240"/>
        <w:ind w:left="426" w:hanging="426"/>
        <w:jc w:val="both"/>
      </w:pPr>
      <w:bookmarkStart w:id="0" w:name="_GoBack"/>
      <w:bookmarkEnd w:id="0"/>
      <w:r>
        <w:t xml:space="preserve">The Queensland Government committed to </w:t>
      </w:r>
      <w:r w:rsidR="005C6648">
        <w:t xml:space="preserve">commencing a review of the </w:t>
      </w:r>
      <w:r w:rsidR="005C6648" w:rsidRPr="005C6648">
        <w:rPr>
          <w:i/>
        </w:rPr>
        <w:t>Youth Justice Act 1992</w:t>
      </w:r>
      <w:r w:rsidR="005C6648">
        <w:t xml:space="preserve"> (YJ Act) in </w:t>
      </w:r>
      <w:r w:rsidR="005C6648" w:rsidRPr="005C6648">
        <w:rPr>
          <w:i/>
        </w:rPr>
        <w:t>Working Together Changing the Story: Youth Justice Strategy 2019</w:t>
      </w:r>
      <w:r w:rsidR="00033AE6">
        <w:rPr>
          <w:i/>
        </w:rPr>
        <w:t xml:space="preserve"> </w:t>
      </w:r>
      <w:r w:rsidR="005C6648" w:rsidRPr="005C6648">
        <w:rPr>
          <w:i/>
        </w:rPr>
        <w:t>-</w:t>
      </w:r>
      <w:r w:rsidR="00033AE6">
        <w:rPr>
          <w:i/>
        </w:rPr>
        <w:t xml:space="preserve"> </w:t>
      </w:r>
      <w:r w:rsidR="005C6648" w:rsidRPr="005C6648">
        <w:rPr>
          <w:i/>
        </w:rPr>
        <w:t>2023</w:t>
      </w:r>
      <w:r w:rsidR="005C6648">
        <w:t xml:space="preserve">. </w:t>
      </w:r>
    </w:p>
    <w:p w14:paraId="1836DA72" w14:textId="7A05559F" w:rsidR="005C6648" w:rsidRDefault="007F242B" w:rsidP="002E3F63">
      <w:pPr>
        <w:pStyle w:val="ListParagraph"/>
        <w:numPr>
          <w:ilvl w:val="0"/>
          <w:numId w:val="1"/>
        </w:numPr>
        <w:tabs>
          <w:tab w:val="left" w:pos="426"/>
        </w:tabs>
        <w:spacing w:before="240"/>
        <w:ind w:left="426" w:hanging="426"/>
        <w:jc w:val="both"/>
      </w:pPr>
      <w:r>
        <w:t>As part of the review, p</w:t>
      </w:r>
      <w:r w:rsidR="005C6648">
        <w:t xml:space="preserve">riority legislative amendments </w:t>
      </w:r>
      <w:r>
        <w:t>were</w:t>
      </w:r>
      <w:r w:rsidR="000F082F">
        <w:t xml:space="preserve"> </w:t>
      </w:r>
      <w:r w:rsidR="005C6648">
        <w:t xml:space="preserve">identified </w:t>
      </w:r>
      <w:r w:rsidR="000E20CF">
        <w:t>that would</w:t>
      </w:r>
      <w:r w:rsidR="005C6648">
        <w:t xml:space="preserve"> compl</w:t>
      </w:r>
      <w:r w:rsidR="0027532A">
        <w:t>e</w:t>
      </w:r>
      <w:r w:rsidR="005C6648">
        <w:t>ment other government initiatives aimed at reducing the high number o</w:t>
      </w:r>
      <w:r w:rsidR="00E6061D">
        <w:t>f young people held on remand</w:t>
      </w:r>
      <w:r w:rsidR="005C6648">
        <w:t xml:space="preserve">. </w:t>
      </w:r>
    </w:p>
    <w:p w14:paraId="0B66FF04" w14:textId="167C4900" w:rsidR="003637A2" w:rsidRDefault="00020C98" w:rsidP="002E3F63">
      <w:pPr>
        <w:pStyle w:val="ListParagraph"/>
        <w:numPr>
          <w:ilvl w:val="0"/>
          <w:numId w:val="1"/>
        </w:numPr>
        <w:tabs>
          <w:tab w:val="left" w:pos="426"/>
        </w:tabs>
        <w:spacing w:before="240"/>
        <w:ind w:left="426" w:hanging="426"/>
        <w:jc w:val="both"/>
      </w:pPr>
      <w:r>
        <w:t xml:space="preserve">The </w:t>
      </w:r>
      <w:r w:rsidR="005A48DA">
        <w:t xml:space="preserve">Youth Justice and Other Legislation </w:t>
      </w:r>
      <w:r>
        <w:rPr>
          <w:spacing w:val="-3"/>
        </w:rPr>
        <w:t>Amendment Bill 201</w:t>
      </w:r>
      <w:r w:rsidR="005A48DA">
        <w:rPr>
          <w:spacing w:val="-3"/>
        </w:rPr>
        <w:t>9</w:t>
      </w:r>
      <w:r>
        <w:rPr>
          <w:spacing w:val="-3"/>
        </w:rPr>
        <w:t xml:space="preserve"> </w:t>
      </w:r>
      <w:r w:rsidR="00562E9E">
        <w:rPr>
          <w:spacing w:val="-3"/>
        </w:rPr>
        <w:t>proposes</w:t>
      </w:r>
      <w:r w:rsidR="002F49F5">
        <w:rPr>
          <w:spacing w:val="-3"/>
        </w:rPr>
        <w:t xml:space="preserve"> </w:t>
      </w:r>
      <w:r>
        <w:rPr>
          <w:spacing w:val="-3"/>
        </w:rPr>
        <w:t xml:space="preserve">priority </w:t>
      </w:r>
      <w:r w:rsidR="005A48DA">
        <w:rPr>
          <w:spacing w:val="-3"/>
        </w:rPr>
        <w:t xml:space="preserve">reforms </w:t>
      </w:r>
      <w:r>
        <w:t>to</w:t>
      </w:r>
      <w:r>
        <w:rPr>
          <w:spacing w:val="-3"/>
        </w:rPr>
        <w:t>:</w:t>
      </w:r>
    </w:p>
    <w:p w14:paraId="0951E764" w14:textId="77777777" w:rsidR="003637A2" w:rsidRDefault="005A48DA" w:rsidP="002E3F63">
      <w:pPr>
        <w:pStyle w:val="ListParagraph"/>
        <w:numPr>
          <w:ilvl w:val="1"/>
          <w:numId w:val="1"/>
        </w:numPr>
        <w:tabs>
          <w:tab w:val="left" w:pos="851"/>
        </w:tabs>
        <w:spacing w:before="120" w:line="269" w:lineRule="exact"/>
        <w:ind w:left="850" w:hanging="425"/>
        <w:jc w:val="both"/>
      </w:pPr>
      <w:r>
        <w:t>reduce the period in which proceedings in the youth justice system are finalised;</w:t>
      </w:r>
    </w:p>
    <w:p w14:paraId="26269DE1" w14:textId="77777777" w:rsidR="003637A2" w:rsidRDefault="005A48DA" w:rsidP="002E3F63">
      <w:pPr>
        <w:pStyle w:val="ListParagraph"/>
        <w:numPr>
          <w:ilvl w:val="1"/>
          <w:numId w:val="1"/>
        </w:numPr>
        <w:tabs>
          <w:tab w:val="left" w:pos="851"/>
        </w:tabs>
        <w:spacing w:before="120" w:line="252" w:lineRule="exact"/>
        <w:ind w:left="850" w:hanging="425"/>
        <w:jc w:val="both"/>
      </w:pPr>
      <w:r>
        <w:t>remove legislative barriers to enable children to be appropriately granted bail; and</w:t>
      </w:r>
    </w:p>
    <w:p w14:paraId="32837D35" w14:textId="77777777" w:rsidR="005C6648" w:rsidRDefault="005A48DA" w:rsidP="002E3F63">
      <w:pPr>
        <w:pStyle w:val="ListParagraph"/>
        <w:numPr>
          <w:ilvl w:val="1"/>
          <w:numId w:val="1"/>
        </w:numPr>
        <w:tabs>
          <w:tab w:val="left" w:pos="851"/>
        </w:tabs>
        <w:spacing w:before="120" w:line="252" w:lineRule="exact"/>
        <w:ind w:left="850" w:hanging="425"/>
        <w:jc w:val="both"/>
      </w:pPr>
      <w:r>
        <w:t xml:space="preserve">ensure reasonable conditions are attached to grants of bail and that conditions remain relevant while a young person’s matter is ongoing. </w:t>
      </w:r>
    </w:p>
    <w:p w14:paraId="79672421" w14:textId="3ECCA667" w:rsidR="005C6648" w:rsidRDefault="005C6648" w:rsidP="002E3F63">
      <w:pPr>
        <w:pStyle w:val="ListParagraph"/>
        <w:numPr>
          <w:ilvl w:val="0"/>
          <w:numId w:val="1"/>
        </w:numPr>
        <w:tabs>
          <w:tab w:val="left" w:pos="426"/>
        </w:tabs>
        <w:spacing w:before="240"/>
        <w:ind w:left="426" w:hanging="426"/>
        <w:jc w:val="both"/>
      </w:pPr>
      <w:r>
        <w:t xml:space="preserve">The suite of reforms will together provide a balanced approach to improve appropriate decision making without removing discretion. They also balance community safety, and short term and longer term outcomes for young people involved in the youth justice system, with the need to alleviate demand pressure over time. </w:t>
      </w:r>
    </w:p>
    <w:p w14:paraId="04E209F1" w14:textId="4C50C946" w:rsidR="005A48DA" w:rsidRPr="005A48DA" w:rsidRDefault="00020C98" w:rsidP="002E3F63">
      <w:pPr>
        <w:pStyle w:val="ListParagraph"/>
        <w:numPr>
          <w:ilvl w:val="0"/>
          <w:numId w:val="1"/>
        </w:numPr>
        <w:tabs>
          <w:tab w:val="left" w:pos="426"/>
        </w:tabs>
        <w:spacing w:before="240"/>
        <w:ind w:left="426" w:hanging="426"/>
        <w:jc w:val="both"/>
      </w:pPr>
      <w:r>
        <w:t>The</w:t>
      </w:r>
      <w:r>
        <w:rPr>
          <w:spacing w:val="-13"/>
        </w:rPr>
        <w:t xml:space="preserve"> </w:t>
      </w:r>
      <w:r>
        <w:rPr>
          <w:spacing w:val="-3"/>
        </w:rPr>
        <w:t>Bill</w:t>
      </w:r>
      <w:r>
        <w:rPr>
          <w:spacing w:val="-12"/>
        </w:rPr>
        <w:t xml:space="preserve"> </w:t>
      </w:r>
      <w:r>
        <w:rPr>
          <w:spacing w:val="-3"/>
        </w:rPr>
        <w:t>also</w:t>
      </w:r>
      <w:r>
        <w:rPr>
          <w:spacing w:val="-12"/>
        </w:rPr>
        <w:t xml:space="preserve"> </w:t>
      </w:r>
      <w:r>
        <w:rPr>
          <w:spacing w:val="-3"/>
        </w:rPr>
        <w:t>includes</w:t>
      </w:r>
      <w:r>
        <w:rPr>
          <w:spacing w:val="-13"/>
        </w:rPr>
        <w:t xml:space="preserve"> </w:t>
      </w:r>
      <w:r>
        <w:rPr>
          <w:spacing w:val="-3"/>
        </w:rPr>
        <w:t>other</w:t>
      </w:r>
      <w:r>
        <w:rPr>
          <w:spacing w:val="-12"/>
        </w:rPr>
        <w:t xml:space="preserve"> </w:t>
      </w:r>
      <w:r>
        <w:rPr>
          <w:spacing w:val="-3"/>
        </w:rPr>
        <w:t>amendments</w:t>
      </w:r>
      <w:r w:rsidR="005A48DA">
        <w:rPr>
          <w:spacing w:val="-3"/>
        </w:rPr>
        <w:t xml:space="preserve"> to:</w:t>
      </w:r>
    </w:p>
    <w:p w14:paraId="6EA41114" w14:textId="704E94BC" w:rsidR="007059C9" w:rsidRDefault="007059C9" w:rsidP="002E3F63">
      <w:pPr>
        <w:pStyle w:val="ListParagraph"/>
        <w:numPr>
          <w:ilvl w:val="1"/>
          <w:numId w:val="1"/>
        </w:numPr>
        <w:tabs>
          <w:tab w:val="left" w:pos="851"/>
        </w:tabs>
        <w:spacing w:before="120"/>
        <w:ind w:left="850" w:hanging="425"/>
        <w:jc w:val="both"/>
      </w:pPr>
      <w:r>
        <w:t>introduce a contemporary information sharing framework</w:t>
      </w:r>
      <w:r w:rsidR="00853D20">
        <w:t>,</w:t>
      </w:r>
      <w:r>
        <w:t xml:space="preserve"> </w:t>
      </w:r>
      <w:r w:rsidR="00853D20">
        <w:t xml:space="preserve">to </w:t>
      </w:r>
      <w:r w:rsidR="007C4743">
        <w:t>enable</w:t>
      </w:r>
      <w:r w:rsidR="00853D20">
        <w:t xml:space="preserve"> government and non-government organisations to assess and respond</w:t>
      </w:r>
      <w:r w:rsidR="002F49F5">
        <w:t xml:space="preserve"> to the needs of young people involved with</w:t>
      </w:r>
      <w:r w:rsidR="00853D20">
        <w:t xml:space="preserve"> the youth justice system</w:t>
      </w:r>
      <w:r>
        <w:t xml:space="preserve">; </w:t>
      </w:r>
    </w:p>
    <w:p w14:paraId="259E482C" w14:textId="3281F106" w:rsidR="000D171A" w:rsidRDefault="00C60F63" w:rsidP="002E3F63">
      <w:pPr>
        <w:pStyle w:val="ListParagraph"/>
        <w:numPr>
          <w:ilvl w:val="1"/>
          <w:numId w:val="1"/>
        </w:numPr>
        <w:tabs>
          <w:tab w:val="left" w:pos="851"/>
        </w:tabs>
        <w:spacing w:before="120"/>
        <w:ind w:left="850" w:hanging="425"/>
        <w:jc w:val="both"/>
      </w:pPr>
      <w:r>
        <w:t>clarify</w:t>
      </w:r>
      <w:r w:rsidR="007C4743">
        <w:t xml:space="preserve"> </w:t>
      </w:r>
      <w:r w:rsidR="000D171A">
        <w:t>that a condition requiring the use of a tracking device cannot be imposed on a child;</w:t>
      </w:r>
    </w:p>
    <w:p w14:paraId="273024C1" w14:textId="3E0845E7" w:rsidR="005A48DA" w:rsidRDefault="005C6648" w:rsidP="002E3F63">
      <w:pPr>
        <w:pStyle w:val="ListParagraph"/>
        <w:numPr>
          <w:ilvl w:val="1"/>
          <w:numId w:val="1"/>
        </w:numPr>
        <w:tabs>
          <w:tab w:val="left" w:pos="851"/>
        </w:tabs>
        <w:spacing w:before="120"/>
        <w:ind w:left="850" w:hanging="425"/>
        <w:jc w:val="both"/>
      </w:pPr>
      <w:r>
        <w:t>a</w:t>
      </w:r>
      <w:r w:rsidR="005A48DA">
        <w:t>uthori</w:t>
      </w:r>
      <w:r w:rsidR="000F082F">
        <w:t>s</w:t>
      </w:r>
      <w:r w:rsidR="005A48DA">
        <w:t xml:space="preserve">e the collection, use and disclosure of video and audio recordings for specified purposes in relation to youth detention centres, including </w:t>
      </w:r>
      <w:r w:rsidR="00F65766">
        <w:t xml:space="preserve">the use of </w:t>
      </w:r>
      <w:r w:rsidR="00430933">
        <w:t>body-</w:t>
      </w:r>
      <w:r w:rsidR="005A48DA">
        <w:t>worn cameras</w:t>
      </w:r>
      <w:r w:rsidR="00C60F63">
        <w:t xml:space="preserve"> in youth detention centres</w:t>
      </w:r>
      <w:r w:rsidR="005A48DA">
        <w:t>;</w:t>
      </w:r>
      <w:r w:rsidR="007059C9" w:rsidRPr="007059C9">
        <w:t xml:space="preserve"> </w:t>
      </w:r>
    </w:p>
    <w:p w14:paraId="5A3D340A" w14:textId="24D616EF" w:rsidR="000D171A" w:rsidRDefault="000D171A" w:rsidP="002E3F63">
      <w:pPr>
        <w:pStyle w:val="ListParagraph"/>
        <w:numPr>
          <w:ilvl w:val="1"/>
          <w:numId w:val="1"/>
        </w:numPr>
        <w:tabs>
          <w:tab w:val="left" w:pos="851"/>
        </w:tabs>
        <w:spacing w:before="120"/>
        <w:ind w:left="850" w:hanging="425"/>
        <w:jc w:val="both"/>
      </w:pPr>
      <w:r>
        <w:t>enable the Public Guardian to</w:t>
      </w:r>
      <w:r w:rsidR="00430933">
        <w:t xml:space="preserve"> continue to</w:t>
      </w:r>
      <w:r>
        <w:t xml:space="preserve"> </w:t>
      </w:r>
      <w:r w:rsidR="00430933">
        <w:t xml:space="preserve">exercise </w:t>
      </w:r>
      <w:r>
        <w:t xml:space="preserve">community visitor (child) </w:t>
      </w:r>
      <w:r w:rsidR="00430933">
        <w:t xml:space="preserve">and child advocate </w:t>
      </w:r>
      <w:r>
        <w:t xml:space="preserve">powers and functions in </w:t>
      </w:r>
      <w:r w:rsidR="00430933">
        <w:t>residential facilities provided or funded</w:t>
      </w:r>
      <w:r w:rsidR="00FD5F5B">
        <w:t xml:space="preserve"> </w:t>
      </w:r>
      <w:r w:rsidR="00430933">
        <w:t xml:space="preserve">by </w:t>
      </w:r>
      <w:r>
        <w:t>the Department of Youth Justice</w:t>
      </w:r>
      <w:r w:rsidR="000969B4">
        <w:t>; and</w:t>
      </w:r>
    </w:p>
    <w:p w14:paraId="52AF745A" w14:textId="0C4A976F" w:rsidR="005A48DA" w:rsidRDefault="00E6061D" w:rsidP="002E3F63">
      <w:pPr>
        <w:pStyle w:val="ListParagraph"/>
        <w:numPr>
          <w:ilvl w:val="1"/>
          <w:numId w:val="1"/>
        </w:numPr>
        <w:tabs>
          <w:tab w:val="left" w:pos="851"/>
        </w:tabs>
        <w:spacing w:before="120"/>
        <w:ind w:left="850" w:hanging="425"/>
        <w:jc w:val="both"/>
      </w:pPr>
      <w:r>
        <w:t>introduce</w:t>
      </w:r>
      <w:r w:rsidR="005A48DA">
        <w:t xml:space="preserve"> a requirement that, in sentencing a young person for the manslaughter of a child under 12 years, </w:t>
      </w:r>
      <w:r>
        <w:t xml:space="preserve">a </w:t>
      </w:r>
      <w:r w:rsidR="005A48DA">
        <w:t xml:space="preserve">court must treat the defencelessness of the victim and their vulnerability as an aggravating factor </w:t>
      </w:r>
      <w:r w:rsidR="00ED1521">
        <w:t>(</w:t>
      </w:r>
      <w:r w:rsidR="005A48DA">
        <w:t>align</w:t>
      </w:r>
      <w:r w:rsidR="00ED1521">
        <w:t>ing</w:t>
      </w:r>
      <w:r w:rsidR="005A48DA">
        <w:t xml:space="preserve"> with </w:t>
      </w:r>
      <w:r w:rsidR="007059C9">
        <w:t xml:space="preserve">recent </w:t>
      </w:r>
      <w:r w:rsidR="005A48DA">
        <w:t>amendments</w:t>
      </w:r>
      <w:r w:rsidR="00ED1521">
        <w:t xml:space="preserve"> for adults</w:t>
      </w:r>
      <w:r w:rsidR="005A48DA">
        <w:t xml:space="preserve"> </w:t>
      </w:r>
      <w:r w:rsidR="005C6648">
        <w:t>made</w:t>
      </w:r>
      <w:r w:rsidR="005A48DA">
        <w:t xml:space="preserve"> to the </w:t>
      </w:r>
      <w:r w:rsidR="005A48DA" w:rsidRPr="005C6648">
        <w:rPr>
          <w:i/>
        </w:rPr>
        <w:t>Penalties and Sentences Act 1992</w:t>
      </w:r>
      <w:r w:rsidR="00ED1521">
        <w:t>)</w:t>
      </w:r>
      <w:r w:rsidR="007059C9">
        <w:t>.</w:t>
      </w:r>
    </w:p>
    <w:p w14:paraId="60DBFD66" w14:textId="77777777" w:rsidR="003637A2" w:rsidRDefault="00020C98" w:rsidP="002E3F63">
      <w:pPr>
        <w:pStyle w:val="ListParagraph"/>
        <w:numPr>
          <w:ilvl w:val="0"/>
          <w:numId w:val="1"/>
        </w:numPr>
        <w:tabs>
          <w:tab w:val="left" w:pos="426"/>
        </w:tabs>
        <w:spacing w:before="240"/>
        <w:ind w:left="426" w:hanging="426"/>
        <w:jc w:val="both"/>
      </w:pPr>
      <w:r>
        <w:rPr>
          <w:spacing w:val="-3"/>
          <w:u w:val="single"/>
        </w:rPr>
        <w:t>Cabinet approved</w:t>
      </w:r>
      <w:r w:rsidRPr="0027532A">
        <w:rPr>
          <w:spacing w:val="-3"/>
        </w:rPr>
        <w:t xml:space="preserve"> </w:t>
      </w:r>
      <w:r>
        <w:t xml:space="preserve">the introduction of the </w:t>
      </w:r>
      <w:r w:rsidR="00B263AE">
        <w:t>Youth Justice and Other Legislation</w:t>
      </w:r>
      <w:r>
        <w:rPr>
          <w:spacing w:val="-3"/>
        </w:rPr>
        <w:t xml:space="preserve"> Amendment Bill 201</w:t>
      </w:r>
      <w:r w:rsidR="00B263AE">
        <w:rPr>
          <w:spacing w:val="-3"/>
        </w:rPr>
        <w:t>9</w:t>
      </w:r>
      <w:r>
        <w:rPr>
          <w:spacing w:val="-3"/>
        </w:rPr>
        <w:t xml:space="preserve"> </w:t>
      </w:r>
      <w:r>
        <w:t>into the Legislative</w:t>
      </w:r>
      <w:r>
        <w:rPr>
          <w:spacing w:val="-6"/>
        </w:rPr>
        <w:t xml:space="preserve"> </w:t>
      </w:r>
      <w:r>
        <w:t>Assembly.</w:t>
      </w:r>
    </w:p>
    <w:p w14:paraId="72952883" w14:textId="577CE5F0" w:rsidR="003637A2" w:rsidRDefault="00020C98" w:rsidP="002E3F63">
      <w:pPr>
        <w:pStyle w:val="ListParagraph"/>
        <w:numPr>
          <w:ilvl w:val="0"/>
          <w:numId w:val="1"/>
        </w:numPr>
        <w:tabs>
          <w:tab w:val="left" w:pos="426"/>
        </w:tabs>
        <w:spacing w:before="360"/>
        <w:ind w:left="426" w:hanging="426"/>
        <w:jc w:val="both"/>
        <w:rPr>
          <w:i/>
        </w:rPr>
      </w:pPr>
      <w:r>
        <w:rPr>
          <w:i/>
          <w:u w:val="single"/>
        </w:rPr>
        <w:t>Attachments</w:t>
      </w:r>
    </w:p>
    <w:p w14:paraId="5F403076" w14:textId="38562573" w:rsidR="003637A2" w:rsidRDefault="005D6B6F" w:rsidP="002E3F63">
      <w:pPr>
        <w:pStyle w:val="ListParagraph"/>
        <w:numPr>
          <w:ilvl w:val="1"/>
          <w:numId w:val="1"/>
        </w:numPr>
        <w:tabs>
          <w:tab w:val="left" w:pos="851"/>
        </w:tabs>
        <w:spacing w:before="120"/>
        <w:ind w:left="879" w:hanging="425"/>
        <w:jc w:val="both"/>
      </w:pPr>
      <w:hyperlink r:id="rId10" w:history="1">
        <w:r w:rsidR="00B263AE" w:rsidRPr="001963A4">
          <w:rPr>
            <w:rStyle w:val="Hyperlink"/>
          </w:rPr>
          <w:t>Youth</w:t>
        </w:r>
        <w:r w:rsidR="00B263AE" w:rsidRPr="001963A4">
          <w:rPr>
            <w:rStyle w:val="Hyperlink"/>
            <w:spacing w:val="-3"/>
          </w:rPr>
          <w:t xml:space="preserve"> Justice and Other Legislation Amendment Bill 2019</w:t>
        </w:r>
      </w:hyperlink>
    </w:p>
    <w:p w14:paraId="3C8FF6E9" w14:textId="6CC4C7F3" w:rsidR="003637A2" w:rsidRDefault="005D6B6F" w:rsidP="002E3F63">
      <w:pPr>
        <w:pStyle w:val="ListParagraph"/>
        <w:numPr>
          <w:ilvl w:val="1"/>
          <w:numId w:val="1"/>
        </w:numPr>
        <w:tabs>
          <w:tab w:val="left" w:pos="851"/>
        </w:tabs>
        <w:spacing w:before="120"/>
        <w:ind w:left="879" w:hanging="425"/>
        <w:jc w:val="both"/>
      </w:pPr>
      <w:hyperlink r:id="rId11" w:history="1">
        <w:r w:rsidR="00020C98" w:rsidRPr="001963A4">
          <w:rPr>
            <w:rStyle w:val="Hyperlink"/>
          </w:rPr>
          <w:t>Explanatory</w:t>
        </w:r>
        <w:r w:rsidR="00020C98" w:rsidRPr="001963A4">
          <w:rPr>
            <w:rStyle w:val="Hyperlink"/>
            <w:spacing w:val="-1"/>
          </w:rPr>
          <w:t xml:space="preserve"> </w:t>
        </w:r>
        <w:r w:rsidR="00020C98" w:rsidRPr="001963A4">
          <w:rPr>
            <w:rStyle w:val="Hyperlink"/>
            <w:spacing w:val="-4"/>
          </w:rPr>
          <w:t>Notes</w:t>
        </w:r>
      </w:hyperlink>
    </w:p>
    <w:sectPr w:rsidR="003637A2" w:rsidSect="00197D19">
      <w:headerReference w:type="default" r:id="rId12"/>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C5A02" w14:textId="77777777" w:rsidR="00632915" w:rsidRDefault="00632915" w:rsidP="00197D19">
      <w:r>
        <w:separator/>
      </w:r>
    </w:p>
  </w:endnote>
  <w:endnote w:type="continuationSeparator" w:id="0">
    <w:p w14:paraId="67B9F7D1" w14:textId="77777777" w:rsidR="00632915" w:rsidRDefault="00632915" w:rsidP="0019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F47D8" w14:textId="77777777" w:rsidR="00632915" w:rsidRDefault="00632915" w:rsidP="00197D19">
      <w:r>
        <w:separator/>
      </w:r>
    </w:p>
  </w:footnote>
  <w:footnote w:type="continuationSeparator" w:id="0">
    <w:p w14:paraId="65F005D6" w14:textId="77777777" w:rsidR="00632915" w:rsidRDefault="00632915" w:rsidP="00197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FFDB" w14:textId="77777777" w:rsidR="00197D19" w:rsidRPr="00937A4A" w:rsidRDefault="00197D19" w:rsidP="00197D19">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6BE9288E" w14:textId="77777777" w:rsidR="00197D19" w:rsidRPr="00937A4A" w:rsidRDefault="00197D19" w:rsidP="00197D19">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6AC5D209" w14:textId="5248A7B2" w:rsidR="00197D19" w:rsidRPr="00937A4A" w:rsidRDefault="00197D19" w:rsidP="00197D19">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June 2019</w:t>
    </w:r>
  </w:p>
  <w:p w14:paraId="42179D2E" w14:textId="18C3A4CD" w:rsidR="00197D19" w:rsidRDefault="00197D19" w:rsidP="00197D19">
    <w:pPr>
      <w:pStyle w:val="Header"/>
      <w:spacing w:before="120"/>
      <w:rPr>
        <w:b/>
        <w:u w:val="single"/>
      </w:rPr>
    </w:pPr>
    <w:r>
      <w:rPr>
        <w:b/>
        <w:u w:val="single"/>
      </w:rPr>
      <w:t>Youth Justice and Other Legislation Amendment Bill 2019</w:t>
    </w:r>
  </w:p>
  <w:p w14:paraId="1EF5B592" w14:textId="2022C902" w:rsidR="00197D19" w:rsidRDefault="00197D19" w:rsidP="00197D19">
    <w:pPr>
      <w:pStyle w:val="Header"/>
      <w:spacing w:before="120"/>
      <w:rPr>
        <w:b/>
        <w:u w:val="single"/>
      </w:rPr>
    </w:pPr>
    <w:r>
      <w:rPr>
        <w:b/>
        <w:u w:val="single"/>
      </w:rPr>
      <w:t>Minister for Child Safety, Youth and Women and Minister for the Prevention of Domestic and Family Violence</w:t>
    </w:r>
  </w:p>
  <w:p w14:paraId="53435CEF" w14:textId="77777777" w:rsidR="00197D19" w:rsidRDefault="00197D19" w:rsidP="00197D19">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356CD"/>
    <w:multiLevelType w:val="hybridMultilevel"/>
    <w:tmpl w:val="827E8CD2"/>
    <w:lvl w:ilvl="0" w:tplc="E0D83A40">
      <w:start w:val="1"/>
      <w:numFmt w:val="decimal"/>
      <w:lvlText w:val="%1."/>
      <w:lvlJc w:val="left"/>
      <w:pPr>
        <w:ind w:left="694" w:hanging="361"/>
      </w:pPr>
      <w:rPr>
        <w:rFonts w:ascii="Arial" w:eastAsia="Arial" w:hAnsi="Arial" w:cs="Arial" w:hint="default"/>
        <w:i w:val="0"/>
        <w:spacing w:val="-4"/>
        <w:w w:val="99"/>
        <w:sz w:val="22"/>
        <w:szCs w:val="22"/>
      </w:rPr>
    </w:lvl>
    <w:lvl w:ilvl="1" w:tplc="3C16618E">
      <w:numFmt w:val="bullet"/>
      <w:lvlText w:val=""/>
      <w:lvlJc w:val="left"/>
      <w:pPr>
        <w:ind w:left="1120" w:hanging="361"/>
      </w:pPr>
      <w:rPr>
        <w:rFonts w:ascii="Symbol" w:eastAsia="Symbol" w:hAnsi="Symbol" w:cs="Symbol" w:hint="default"/>
        <w:w w:val="99"/>
        <w:sz w:val="22"/>
        <w:szCs w:val="22"/>
      </w:rPr>
    </w:lvl>
    <w:lvl w:ilvl="2" w:tplc="16D4260E">
      <w:numFmt w:val="bullet"/>
      <w:lvlText w:val="•"/>
      <w:lvlJc w:val="left"/>
      <w:pPr>
        <w:ind w:left="1140" w:hanging="361"/>
      </w:pPr>
      <w:rPr>
        <w:rFonts w:hint="default"/>
      </w:rPr>
    </w:lvl>
    <w:lvl w:ilvl="3" w:tplc="3722649E">
      <w:numFmt w:val="bullet"/>
      <w:lvlText w:val="•"/>
      <w:lvlJc w:val="left"/>
      <w:pPr>
        <w:ind w:left="2285" w:hanging="361"/>
      </w:pPr>
      <w:rPr>
        <w:rFonts w:hint="default"/>
      </w:rPr>
    </w:lvl>
    <w:lvl w:ilvl="4" w:tplc="786C3FD2">
      <w:numFmt w:val="bullet"/>
      <w:lvlText w:val="•"/>
      <w:lvlJc w:val="left"/>
      <w:pPr>
        <w:ind w:left="3431" w:hanging="361"/>
      </w:pPr>
      <w:rPr>
        <w:rFonts w:hint="default"/>
      </w:rPr>
    </w:lvl>
    <w:lvl w:ilvl="5" w:tplc="C8B66920">
      <w:numFmt w:val="bullet"/>
      <w:lvlText w:val="•"/>
      <w:lvlJc w:val="left"/>
      <w:pPr>
        <w:ind w:left="4576" w:hanging="361"/>
      </w:pPr>
      <w:rPr>
        <w:rFonts w:hint="default"/>
      </w:rPr>
    </w:lvl>
    <w:lvl w:ilvl="6" w:tplc="59BCEC12">
      <w:numFmt w:val="bullet"/>
      <w:lvlText w:val="•"/>
      <w:lvlJc w:val="left"/>
      <w:pPr>
        <w:ind w:left="5722" w:hanging="361"/>
      </w:pPr>
      <w:rPr>
        <w:rFonts w:hint="default"/>
      </w:rPr>
    </w:lvl>
    <w:lvl w:ilvl="7" w:tplc="19FAED18">
      <w:numFmt w:val="bullet"/>
      <w:lvlText w:val="•"/>
      <w:lvlJc w:val="left"/>
      <w:pPr>
        <w:ind w:left="6867" w:hanging="361"/>
      </w:pPr>
      <w:rPr>
        <w:rFonts w:hint="default"/>
      </w:rPr>
    </w:lvl>
    <w:lvl w:ilvl="8" w:tplc="715E8C88">
      <w:numFmt w:val="bullet"/>
      <w:lvlText w:val="•"/>
      <w:lvlJc w:val="left"/>
      <w:pPr>
        <w:ind w:left="8013"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7A2"/>
    <w:rsid w:val="00020C98"/>
    <w:rsid w:val="00033AE6"/>
    <w:rsid w:val="000969B4"/>
    <w:rsid w:val="000D171A"/>
    <w:rsid w:val="000E20CF"/>
    <w:rsid w:val="000F082F"/>
    <w:rsid w:val="00160AAF"/>
    <w:rsid w:val="001963A4"/>
    <w:rsid w:val="00197D19"/>
    <w:rsid w:val="0027532A"/>
    <w:rsid w:val="002E3F63"/>
    <w:rsid w:val="002F49F5"/>
    <w:rsid w:val="003637A2"/>
    <w:rsid w:val="0037443F"/>
    <w:rsid w:val="003754D0"/>
    <w:rsid w:val="00406A58"/>
    <w:rsid w:val="00430933"/>
    <w:rsid w:val="0048285D"/>
    <w:rsid w:val="004976A6"/>
    <w:rsid w:val="004C542C"/>
    <w:rsid w:val="0053668F"/>
    <w:rsid w:val="00562E9E"/>
    <w:rsid w:val="005A48DA"/>
    <w:rsid w:val="005C20D7"/>
    <w:rsid w:val="005C6648"/>
    <w:rsid w:val="005D6B6F"/>
    <w:rsid w:val="00632915"/>
    <w:rsid w:val="007059C9"/>
    <w:rsid w:val="007128D4"/>
    <w:rsid w:val="00726339"/>
    <w:rsid w:val="0074088F"/>
    <w:rsid w:val="0074711E"/>
    <w:rsid w:val="007A6788"/>
    <w:rsid w:val="007C4743"/>
    <w:rsid w:val="007F242B"/>
    <w:rsid w:val="0083200E"/>
    <w:rsid w:val="00853D20"/>
    <w:rsid w:val="008B1AF5"/>
    <w:rsid w:val="008E0B57"/>
    <w:rsid w:val="009B5AB7"/>
    <w:rsid w:val="00A33C7A"/>
    <w:rsid w:val="00B263AE"/>
    <w:rsid w:val="00BD6226"/>
    <w:rsid w:val="00BF19F6"/>
    <w:rsid w:val="00C60F63"/>
    <w:rsid w:val="00C918DA"/>
    <w:rsid w:val="00D03F9B"/>
    <w:rsid w:val="00D22C35"/>
    <w:rsid w:val="00E6061D"/>
    <w:rsid w:val="00EB0348"/>
    <w:rsid w:val="00ED1521"/>
    <w:rsid w:val="00F65766"/>
    <w:rsid w:val="00FD5F5B"/>
    <w:rsid w:val="00FF32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96" w:right="851"/>
      <w:jc w:val="center"/>
      <w:outlineLvl w:val="0"/>
    </w:pPr>
    <w:rPr>
      <w:b/>
      <w:bCs/>
      <w:sz w:val="56"/>
      <w:szCs w:val="56"/>
    </w:rPr>
  </w:style>
  <w:style w:type="paragraph" w:styleId="Heading2">
    <w:name w:val="heading 2"/>
    <w:basedOn w:val="Normal"/>
    <w:uiPriority w:val="1"/>
    <w:qFormat/>
    <w:pPr>
      <w:spacing w:before="1"/>
      <w:ind w:left="334"/>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8"/>
      <w:ind w:left="694"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408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88F"/>
    <w:rPr>
      <w:rFonts w:ascii="Segoe UI" w:eastAsia="Arial" w:hAnsi="Segoe UI" w:cs="Segoe UI"/>
      <w:sz w:val="18"/>
      <w:szCs w:val="18"/>
    </w:rPr>
  </w:style>
  <w:style w:type="character" w:styleId="CommentReference">
    <w:name w:val="annotation reference"/>
    <w:basedOn w:val="DefaultParagraphFont"/>
    <w:uiPriority w:val="99"/>
    <w:semiHidden/>
    <w:unhideWhenUsed/>
    <w:rsid w:val="007059C9"/>
    <w:rPr>
      <w:sz w:val="16"/>
      <w:szCs w:val="16"/>
    </w:rPr>
  </w:style>
  <w:style w:type="paragraph" w:styleId="CommentText">
    <w:name w:val="annotation text"/>
    <w:basedOn w:val="Normal"/>
    <w:link w:val="CommentTextChar"/>
    <w:uiPriority w:val="99"/>
    <w:semiHidden/>
    <w:unhideWhenUsed/>
    <w:rsid w:val="007059C9"/>
    <w:rPr>
      <w:sz w:val="20"/>
      <w:szCs w:val="20"/>
    </w:rPr>
  </w:style>
  <w:style w:type="character" w:customStyle="1" w:styleId="CommentTextChar">
    <w:name w:val="Comment Text Char"/>
    <w:basedOn w:val="DefaultParagraphFont"/>
    <w:link w:val="CommentText"/>
    <w:uiPriority w:val="99"/>
    <w:semiHidden/>
    <w:rsid w:val="007059C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059C9"/>
    <w:rPr>
      <w:b/>
      <w:bCs/>
    </w:rPr>
  </w:style>
  <w:style w:type="character" w:customStyle="1" w:styleId="CommentSubjectChar">
    <w:name w:val="Comment Subject Char"/>
    <w:basedOn w:val="CommentTextChar"/>
    <w:link w:val="CommentSubject"/>
    <w:uiPriority w:val="99"/>
    <w:semiHidden/>
    <w:rsid w:val="007059C9"/>
    <w:rPr>
      <w:rFonts w:ascii="Arial" w:eastAsia="Arial" w:hAnsi="Arial" w:cs="Arial"/>
      <w:b/>
      <w:bCs/>
      <w:sz w:val="20"/>
      <w:szCs w:val="20"/>
    </w:rPr>
  </w:style>
  <w:style w:type="paragraph" w:styleId="Header">
    <w:name w:val="header"/>
    <w:basedOn w:val="Normal"/>
    <w:link w:val="HeaderChar"/>
    <w:uiPriority w:val="99"/>
    <w:unhideWhenUsed/>
    <w:rsid w:val="00197D19"/>
    <w:pPr>
      <w:tabs>
        <w:tab w:val="center" w:pos="4513"/>
        <w:tab w:val="right" w:pos="9026"/>
      </w:tabs>
    </w:pPr>
  </w:style>
  <w:style w:type="character" w:customStyle="1" w:styleId="HeaderChar">
    <w:name w:val="Header Char"/>
    <w:basedOn w:val="DefaultParagraphFont"/>
    <w:link w:val="Header"/>
    <w:uiPriority w:val="99"/>
    <w:rsid w:val="00197D19"/>
    <w:rPr>
      <w:rFonts w:ascii="Arial" w:eastAsia="Arial" w:hAnsi="Arial" w:cs="Arial"/>
    </w:rPr>
  </w:style>
  <w:style w:type="paragraph" w:styleId="Footer">
    <w:name w:val="footer"/>
    <w:basedOn w:val="Normal"/>
    <w:link w:val="FooterChar"/>
    <w:uiPriority w:val="99"/>
    <w:unhideWhenUsed/>
    <w:rsid w:val="00197D19"/>
    <w:pPr>
      <w:tabs>
        <w:tab w:val="center" w:pos="4513"/>
        <w:tab w:val="right" w:pos="9026"/>
      </w:tabs>
    </w:pPr>
  </w:style>
  <w:style w:type="character" w:customStyle="1" w:styleId="FooterChar">
    <w:name w:val="Footer Char"/>
    <w:basedOn w:val="DefaultParagraphFont"/>
    <w:link w:val="Footer"/>
    <w:uiPriority w:val="99"/>
    <w:rsid w:val="00197D19"/>
    <w:rPr>
      <w:rFonts w:ascii="Arial" w:eastAsia="Arial" w:hAnsi="Arial" w:cs="Arial"/>
    </w:rPr>
  </w:style>
  <w:style w:type="character" w:styleId="Hyperlink">
    <w:name w:val="Hyperlink"/>
    <w:basedOn w:val="DefaultParagraphFont"/>
    <w:uiPriority w:val="99"/>
    <w:unhideWhenUsed/>
    <w:rsid w:val="001963A4"/>
    <w:rPr>
      <w:color w:val="0000FF" w:themeColor="hyperlink"/>
      <w:u w:val="single"/>
    </w:rPr>
  </w:style>
  <w:style w:type="character" w:styleId="UnresolvedMention">
    <w:name w:val="Unresolved Mention"/>
    <w:basedOn w:val="DefaultParagraphFont"/>
    <w:uiPriority w:val="99"/>
    <w:semiHidden/>
    <w:unhideWhenUsed/>
    <w:rsid w:val="00196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ExNotes.PDF" TargetMode="External"/><Relationship Id="rId5" Type="http://schemas.openxmlformats.org/officeDocument/2006/relationships/styles" Target="styles.xml"/><Relationship Id="rId10" Type="http://schemas.openxmlformats.org/officeDocument/2006/relationships/hyperlink" Target="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9" ma:contentTypeDescription="Create a new document." ma:contentTypeScope="" ma:versionID="d6b3e961082200c5a700998994f781a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cc3b65ad2610a8494efec25e4d5ad3b0"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A3C80-0B6A-4A64-9B39-2C394917B4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A3B15E-7188-41A0-8AFB-16F00BD60D0C}">
  <ds:schemaRefs>
    <ds:schemaRef ds:uri="http://schemas.microsoft.com/sharepoint/v3/contenttype/forms"/>
  </ds:schemaRefs>
</ds:datastoreItem>
</file>

<file path=customXml/itemProps3.xml><?xml version="1.0" encoding="utf-8"?>
<ds:datastoreItem xmlns:ds="http://schemas.openxmlformats.org/officeDocument/2006/customXml" ds:itemID="{A9BE0E8F-9E8B-4022-BEE1-5F35B22EA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359</Words>
  <Characters>2005</Characters>
  <Application>Microsoft Office Word</Application>
  <DocSecurity>0</DocSecurity>
  <Lines>33</Lines>
  <Paragraphs>17</Paragraphs>
  <ScaleCrop>false</ScaleCrop>
  <HeadingPairs>
    <vt:vector size="2" baseType="variant">
      <vt:variant>
        <vt:lpstr>Title</vt:lpstr>
      </vt:variant>
      <vt:variant>
        <vt:i4>1</vt:i4>
      </vt:variant>
    </vt:vector>
  </HeadingPairs>
  <TitlesOfParts>
    <vt:vector size="1" baseType="lpstr">
      <vt:lpstr>Microsoft Word - 20170516 CPRA Bill 2017 Att 5 Proactive Release.docx</vt:lpstr>
    </vt:vector>
  </TitlesOfParts>
  <Company/>
  <LinksUpToDate>false</LinksUpToDate>
  <CharactersWithSpaces>2363</CharactersWithSpaces>
  <SharedDoc>false</SharedDoc>
  <HyperlinkBase>https://www.cabinet.qld.gov.au/documents/2019/Jun/YJLAB/</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- 20170516 CPRA Bill 2017 Att 5 Proactive Release.docx</dc:title>
  <dc:creator/>
  <cp:lastModifiedBy/>
  <cp:revision>7</cp:revision>
  <dcterms:created xsi:type="dcterms:W3CDTF">2019-07-30T01:05:00Z</dcterms:created>
  <dcterms:modified xsi:type="dcterms:W3CDTF">2019-12-11T09:21:00Z</dcterms:modified>
  <cp:category>Legislation,Juvenile_Justice,Youth,Youth_Justice,Justice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Creator">
    <vt:lpwstr>PScript5.dll Version 5.2.2</vt:lpwstr>
  </property>
  <property fmtid="{D5CDD505-2E9C-101B-9397-08002B2CF9AE}" pid="4" name="LastSaved">
    <vt:filetime>2017-05-24T00:00:00Z</vt:filetime>
  </property>
  <property fmtid="{D5CDD505-2E9C-101B-9397-08002B2CF9AE}" pid="5" name="ContentTypeId">
    <vt:lpwstr>0x010100DDE14CFDD070B24F85F5DE43654FF01E</vt:lpwstr>
  </property>
</Properties>
</file>